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30" w:history="1">
        <w:r>
          <w:rPr>
            <w:rFonts w:ascii="Arial" w:hAnsi="Arial" w:eastAsia="Arial" w:cs="Arial"/>
            <w:color w:val="155CAA"/>
            <w:u w:val="single"/>
          </w:rPr>
          <w:t xml:space="preserve">1 Gemeente Groningen laat bewoners Trompsingel al tien jaar keihard in de steek (PVV, 1-9-2025)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30"/>
      <w:r w:rsidRPr="00A448AC">
        <w:rPr>
          <w:rFonts w:ascii="Arial" w:hAnsi="Arial" w:cs="Arial"/>
          <w:b/>
          <w:bCs/>
          <w:color w:val="303F4C"/>
          <w:lang w:val="en-US"/>
        </w:rPr>
        <w:t>Gemeente Groningen laat bewoners Trompsingel al tien jaar keihard in de steek (PVV, 1-9-2025)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Groningen laat bewoners Trompsingel al tien jaar keihard in de steek (PVV, Stadspartij 100%, 1-9-2025)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Gemeente-Groningen-laat-bewoners-Trompsingel-al-tien-jaar-keihard-in-de-steek-PVV-Stadspartij-100-1-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