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20:35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140" text:style-name="Internet_20_link" text:visited-style-name="Visited_20_Internet_20_Link">
              <text:span text:style-name="ListLabel_20_28">
                <text:span text:style-name="T8">1 Gezondheidseffecten van windturbinegeluid (CDA, 5-10-2022)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140"/>
        Gezondheidseffecten van windturbinegeluid (CDA, 5-10-2022)
        <text:bookmark-end text:name="1314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CDA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5-10-2022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4-11-2022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04-11-2022 09:49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Gezondheidseffecten van windturbinegeluid
              <text:span text:style-name="T3"/>
            </text:p>
            <text:p text:style-name="P7"/>
          </table:table-cell>
          <table:table-cell table:style-name="Table5.A2" office:value-type="string">
            <text:p text:style-name="P8">05-10-2022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78,25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Gezondheidseffecten-van-windturbinegelu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CDA ex art 36 RvO over gezondheidseffecten van windturbinegeluid
              <text:span text:style-name="T3"/>
            </text:p>
            <text:p text:style-name="P7"/>
          </table:table-cell>
          <table:table-cell table:style-name="Table5.A2" office:value-type="string">
            <text:p text:style-name="P8">04-11-2022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87,69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CDA-ex-art-36-RvO-over-gezondheidseffecten-van-windturbinegelu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79" meta:character-count="603" meta:non-whitespace-character-count="5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39405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39405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