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59" text:style-name="Internet_20_link" text:visited-style-name="Visited_20_Internet_20_Link">
              <text:span text:style-name="ListLabel_20_28">
                <text:span text:style-name="T8">1 Gezondheidsrisico's uitstoot Icopal (SP, GL, PvdA, 16-8-2021)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59"/>
        Gezondheidsrisico's uitstoot Icopal (SP, GL, PvdA, 16-8-2021)
        <text:bookmark-end text:name="125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GL,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16-8-2021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22-09-2021 10:20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Gezondheidsrisico’s uitstoot Icopal (SP, GL, PvdA, 16-8-2021)
              <text:span text:style-name="T3"/>
            </text:p>
            <text:p text:style-name="P7"/>
          </table:table-cell>
          <table:table-cell table:style-name="Table5.A2" office:value-type="string">
            <text:p text:style-name="P8">16-08-2021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Gezondheidsrisico-s-uitstoot-Icopal-SP-GL-PvdA-16-8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SP, GL en PvdA over gezondheidsrisico's uitstoot Icopal
              <text:span text:style-name="T3"/>
            </text:p>
            <text:p text:style-name="P7"/>
          </table:table-cell>
          <table:table-cell table:style-name="Table5.A2" office:value-type="string">
            <text:p text:style-name="P8">22-09-2021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SP-GL-en-PvdA-over-gezondheidsrisico-s-uitstoot-Icop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2" meta:character-count="645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