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48" w:history="1">
        <w:r>
          <w:rPr>
            <w:rFonts w:ascii="Arial" w:hAnsi="Arial" w:eastAsia="Arial" w:cs="Arial"/>
            <w:color w:val="155CAA"/>
            <w:u w:val="single"/>
          </w:rPr>
          <w:t xml:space="preserve">1 Groningen__de_onderwijsinnovatiestad_van_Nederland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48"/>
      <w:r w:rsidRPr="00A448AC">
        <w:rPr>
          <w:rFonts w:ascii="Arial" w:hAnsi="Arial" w:cs="Arial"/>
          <w:b/>
          <w:bCs/>
          <w:color w:val="303F4C"/>
          <w:lang w:val="en-US"/>
        </w:rPr>
        <w:t>Groningen__de_onderwijsinnovatiestad_van_Nederland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Groningen  de onderwijsinnovatiestad van Nederland.pdf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Groningen-de-onderwijsinnovatiestad-van-Nederland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