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5" w:history="1">
        <w:r>
          <w:rPr>
            <w:rFonts w:ascii="Arial" w:hAnsi="Arial" w:eastAsia="Arial" w:cs="Arial"/>
            <w:color w:val="155CAA"/>
            <w:u w:val="single"/>
          </w:rPr>
          <w:t xml:space="preserve">1 Het AI-beleid van de gemeente Groningen (VVD, D66, 28-5-2025)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5"/>
      <w:r w:rsidRPr="00A448AC">
        <w:rPr>
          <w:rFonts w:ascii="Arial" w:hAnsi="Arial" w:cs="Arial"/>
          <w:b/>
          <w:bCs/>
          <w:color w:val="303F4C"/>
          <w:lang w:val="en-US"/>
        </w:rPr>
        <w:t>Het AI-beleid van de gemeente Groningen (VVD, D66, 28-5-2025)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(VVD, D66, 28-5-2025)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AI-beleid van de gemeente Groningen (VVD, D66, 28-5-2025)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AI-beleid-van-de-gemeente-Groningen-VVD-D66-28-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