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7" text:style-name="Internet_20_link" text:visited-style-name="Visited_20_Internet_20_Link">
              <text:span text:style-name="ListLabel_20_28">
                <text:span text:style-name="T8">1 Het actief kiesrecht voor mannen én vrouwen vieren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"/>
        Het actief kiesrecht voor mannen én vrouwen vieren
        <text:bookmark-end text:name="13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Het actief kiesrecht voor mannen én vrouwen vieren.pdf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t-actief-kiesrecht-voor-mannen-en-vrouwen-v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D66 over 100 jaar kiesrecht.pdf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D66-over-100-jaar-kie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498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