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491" text:style-name="Internet_20_link" text:visited-style-name="Visited_20_Internet_20_Link">
              <text:span text:style-name="ListLabel_20_28">
                <text:span text:style-name="T8">1 Het huidige coffeeshopbeleid (Stadspartij 100%, 16-1-2025)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491"/>
        Het huidige coffeeshopbeleid (Stadspartij 100%, 16-1-2025)
        <text:bookmark-end text:name="144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Stadspartij 100%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16-1-2025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28-2-25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28-02-2025 12:47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Het huidige coffeeshopbeleid (Stadspartij 100%, 16-1-2025)
              <text:span text:style-name="T3"/>
            </text:p>
            <text:p text:style-name="P7"/>
          </table:table-cell>
          <table:table-cell table:style-name="Table5.A2" office:value-type="string">
            <text:p text:style-name="P8">16-01-2025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53,04 KB</text:p>
          </table:table-cell>
          <table:table-cell table:style-name="Table5.A2" office:value-type="string">
            <text:p text:style-name="P33">
              <text:a xlink:type="simple" xlink:href="https://gemeenteraad.groningen.nl//Documenten/Het-huidige-coffeeshopbeleid-Stadspartij-100-16-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ex art 36 RvO van Stadspartij 100% voor Groningen over vragen intrekking vergunningen coffeeshops en de gevolgen voor het beleid onderwerp
              <text:span text:style-name="T3"/>
            </text:p>
            <text:p text:style-name="P7"/>
          </table:table-cell>
          <table:table-cell table:style-name="Table5.A2" office:value-type="string">
            <text:p text:style-name="P8">28-02-2025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136,41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ex-art-36-RvO-van-Stadspartij-100-voor-Groningen-over-vragen-intrekking-vergunningen-coffeeshops-en-de-gevolgen-voor-het-beleid-onderwer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6" meta:character-count="699" meta:non-whitespace-character-count="6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