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42" text:style-name="Internet_20_link" text:visited-style-name="Visited_20_Internet_20_Link">
              <text:span text:style-name="ListLabel_20_28">
                <text:span text:style-name="T8">
                  1 Het 
                  <text:s/>
                  invoeren van een boete op leegstand (PvdA, SP, GL, 22-4-2025)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42"/>
        Het 
        <text:s/>
        invoeren van een boete op leegstand (PvdA, SP, GL, 22-4-2025)
        <text:bookmark-end text:name="146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(PvdA, SP, GL, 22-4-2025)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11:48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invoeren van een boete op leegstand (PvdA, SP, GL, 22-4-2025)
              <text:span text:style-name="T3"/>
            </text:p>
            <text:p text:style-name="P7"/>
          </table:table-cell>
          <table:table-cell table:style-name="Table5.A2" office:value-type="string">
            <text:p text:style-name="P8">22-04-2025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65,20 KB</text:p>
          </table:table-cell>
          <table:table-cell table:style-name="Table5.A2" office:value-type="string">
            <text:p text:style-name="P33">
              <text:a xlink:type="simple" xlink:href="https://gemeenteraad.groningen.nl//Documenten/Het-invoeren-van-een-boete-op-leegstand-PvdA-SP-GL-22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PvdA, SP en GL over het invoeren van een boete op leegstand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A-SP-en-GL-over-het-invoeren-van-een-boete-op-leeg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7" meta:character-count="653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