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70" text:style-name="Internet_20_link" text:visited-style-name="Visited_20_Internet_20_Link">
              <text:span text:style-name="ListLabel_20_28">
                <text:span text:style-name="T8">1 Het standplaatsenbeleid in de gemeente Groningen (PvdA, SP, CU, GL, 14-12-2023)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70"/>
        Het standplaatsenbeleid in de gemeente Groningen (PvdA, SP, CU, GL, 14-12-2023)
        <text:bookmark-end text:name="138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SP, CU, GL, 14-12-2023)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24-01-2024 15:25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standplaatsenbeleid in de gemeente Groningen (PvdA, SP, CU, GL, 14-12-23)
              <text:span text:style-name="T3"/>
            </text:p>
            <text:p text:style-name="P7"/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161,87 KB</text:p>
          </table:table-cell>
          <table:table-cell table:style-name="Table5.A2" office:value-type="string">
            <text:p text:style-name="P33">
              <text:a xlink:type="simple" xlink:href="https://gemeenteraad.groningen.nl//Documenten/Het-standplaatsenbeleid-in-de-gemeente-Groningen-PvdA-SP-CU-GL-14-1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PvdA, SP, CU en Groen Links betreffende het standplaatsenbeleid in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PvdA-SP-CU-en-Groen-Links-betreffende-het-standplaatsenbeleid-i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9" meta:character-count="726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