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2" text:style-name="Internet_20_link" text:visited-style-name="Visited_20_Internet_20_Link">
              <text:span text:style-name="ListLabel_20_28">
                <text:span text:style-name="T8">1 Hittelabels (GL, PvdD, CU, 11-9-2023)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2"/>
        Hittelabels (GL, PvdD, CU, 11-9-2023)
        <text:bookmark-end text:name="136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PvdD,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11-9-2023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04-10-2023 10:55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Hittelabels (GL, PvdD, CU, 11-9-2023)
              <text:span text:style-name="T3"/>
            </text:p>
            <text:p text:style-name="P7"/>
          </table:table-cell>
          <table:table-cell table:style-name="Table5.A2" office:value-type="string">
            <text:p text:style-name="P8">11-09-2023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Hittelabels-GL-PvdD-CU-11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Groenlinks, PvdD en ChristenUnie over Hittelabels
              <text:span text:style-name="T3"/>
            </text:p>
            <text:p text:style-name="P7"/>
          </table:table-cell>
          <table:table-cell table:style-name="Table5.A2" office:value-type="string">
            <text:p text:style-name="P8">04-10-2023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Groenlinks-PvdD-en-ChristenUnie-over-Hittelab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4" meta:character-count="566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