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85" w:history="1">
        <w:r>
          <w:rPr>
            <w:rFonts w:ascii="Arial" w:hAnsi="Arial" w:eastAsia="Arial" w:cs="Arial"/>
            <w:color w:val="155CAA"/>
            <w:u w:val="single"/>
          </w:rPr>
          <w:t xml:space="preserve">1 Hotel Flonk ecologische compensatie (GL, 28-2-2024)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85"/>
      <w:r w:rsidRPr="00A448AC">
        <w:rPr>
          <w:rFonts w:ascii="Arial" w:hAnsi="Arial" w:cs="Arial"/>
          <w:b/>
          <w:bCs/>
          <w:color w:val="303F4C"/>
          <w:lang w:val="en-US"/>
        </w:rPr>
        <w:t>Hotel Flonk ecologische compensatie (GL, 28-2-2024)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Hotel Flonk ecologische compensatie (GL, 28-2-2024)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36 RvO GroenLinks over niet genomen ecologische compensatiemaatregelen door hotel Flonk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Gebied Gemeenschappelijke Regeling Meerschap Paterswolde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Inrichtingsschets compenserende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otel-Flonk-ecologische-compensatie-GL-28-2-2024.pdf" TargetMode="External" /><Relationship Id="rId25" Type="http://schemas.openxmlformats.org/officeDocument/2006/relationships/hyperlink" Target="https://gemeenteraad.groningen.nl//Documenten/Beantwoording-vragen-ex-art-36-RvO-GroenLinks-over-niet-genomen-ecologische-compensatiemaatregelen-door-hotel-Flonk.pdf" TargetMode="External" /><Relationship Id="rId26" Type="http://schemas.openxmlformats.org/officeDocument/2006/relationships/hyperlink" Target="https://gemeenteraad.groningen.nl//Documenten/Bijlage/Bijlage-2-Gebied-Gemeenschappelijke-Regeling-Meerschap-Paterswolde-2016.pdf" TargetMode="External" /><Relationship Id="rId27" Type="http://schemas.openxmlformats.org/officeDocument/2006/relationships/hyperlink" Target="https://gemeenteraad.groningen.nl//Documenten/Bijlage/Bijlage-3-Inrichtingsschets-compenserende-maatreg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