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69" text:style-name="Internet_20_link" text:visited-style-name="Visited_20_Internet_20_Link">
              <text:span text:style-name="ListLabel_20_28">
                <text:span text:style-name="T8">1 Inzet Noordelijke lobby voor vereenvoudiging inhuren buitenlandse arbeidskrachten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69"/>
        Inzet Noordelijke lobby voor vereenvoudiging inhuren buitenlandse arbeidskrachten
        <text:bookmark-end text:name="111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Inzet Noordelijke lobby voor vereenvoudiging inhuren buitenlandse arbeidskrachten.pdf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231,41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Inzet-Noordelijke-lobby-voor-vereenvoudiging-inhuren-buitenlandse-arbeidskrach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38 RvO over noordelijke lobby voor vereenvoudiging inhuren.pdf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60,15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38-RvO-over-noordelijke-lobby-voor-vereenvoudiging-inhu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618" meta:non-whitespace-character-count="5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