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44" text:style-name="Internet_20_link" text:visited-style-name="Visited_20_Internet_20_Link">
              <text:span text:style-name="ListLabel_20_28">
                <text:span text:style-name="T8">1 Inzet tolk NGT bij persconferenties College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44"/>
        Inzet tolk NGT bij persconferenties College
        <text:bookmark-end text:name="111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Inzet tolk NGT bij persconferenties College.pdf
              <text:span text:style-name="T3"/>
            </text:p>
            <text:p text:style-name="P7"/>
          </table:table-cell>
          <table:table-cell table:style-name="Table4.A2" office:value-type="string">
            <text:p text:style-name="P8">25-03-2019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Inzet-tolk-NGT-bij-persconferenties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Stadspartij voor Stad en Ommeland ex art 38 RvO over inzet tolk Nederlandse Gebaren Taal bij persconferentie College.pdf
              <text:span text:style-name="T3"/>
            </text:p>
            <text:p text:style-name="P7"/>
          </table:table-cell>
          <table:table-cell table:style-name="Table4.A2" office:value-type="string">
            <text:p text:style-name="P8">25-03-2019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Stadspartij-voor-Stad-en-Ommeland-ex-art-38-RvO-over-inzet-tolk-Nederlandse-Gebaren-Taal-bij-persconferentie-Colle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3" meta:character-count="552" meta:non-whitespace-character-count="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