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74" text:style-name="Internet_20_link" text:visited-style-name="Visited_20_Internet_20_Link">
              <text:span text:style-name="ListLabel_20_28">
                <text:span text:style-name="T8">1 Koele vluchtplaatsen tijdens hittegolven (PvdD, GL, CDA, 21-07-2022)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74"/>
        Koele vluchtplaatsen tijdens hittegolven (PvdD, GL, CDA, 21-07-2022)
        <text:bookmark-end text:name="130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GL, 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14-09-2022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Koele vluchtplaatsen tijdens hittegolven (PvdD, GL, CDA, 21-07-2022)
              <text:span text:style-name="T3"/>
            </text:p>
            <text:p text:style-name="P7"/>
          </table:table-cell>
          <table:table-cell table:style-name="Table5.A2" office:value-type="string">
            <text:p text:style-name="P8">22-07-2022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Koele-vluchtplaatsen-tijdens-hittegolven-PvdD-GL-CDA-21-07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PvdD, GroenLinks, CDA ex art 36 RvO over koele vluchtplaatsen tijdens hittegolven
              <text:span text:style-name="T3"/>
            </text:p>
            <text:p text:style-name="P7"/>
          </table:table-cell>
          <table:table-cell table:style-name="Table5.A2" office:value-type="string">
            <text:p text:style-name="P8">14-09-2022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GroenLinks-CDA-ex-art-36-RvO-over-koele-vluchtplaatsen-tijdens-hittegol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5" meta:character-count="679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