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01" text:style-name="Internet_20_link" text:visited-style-name="Visited_20_Internet_20_Link">
              <text:span text:style-name="ListLabel_20_28">
                <text:span text:style-name="T8">1 LHBTQIA+ horeca (PvdD, Stadspartij 100%, 14-3-2022)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01"/>
        LHBTQIA+ horeca (PvdD, Stadspartij 100%, 14-3-2022)
        <text:bookmark-end text:name="129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PvdD, Stadspartij voor 100% Groningen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14-3-2022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6-4-2022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06-04-2022 14:36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LHBTQIA+ horeca (PvdD, Stadspartij 100%, 14-3-2022)
              <text:span text:style-name="T3"/>
            </text:p>
            <text:p text:style-name="P7"/>
          </table:table-cell>
          <table:table-cell table:style-name="Table5.A2" office:value-type="string">
            <text:p text:style-name="P8">15-03-2022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LHBTQIA-horeca-PvdD-Stadspartij-100-14-3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RvO PvdD en Stadspartij 100% voor Groningen LHBTQIA+ horeca knelpunten
              <text:span text:style-name="T3"/>
            </text:p>
            <text:p text:style-name="P7"/>
          </table:table-cell>
          <table:table-cell table:style-name="Table5.A2" office:value-type="string">
            <text:p text:style-name="P8">06-04-2022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PvdD-en-Stadspartij-100-voor-Groningen-LHBTQIA-horeca-knelpu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2" meta:character-count="650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