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74" text:style-name="Internet_20_link" text:visited-style-name="Visited_20_Internet_20_Link">
              <text:span text:style-name="ListLabel_20_28">
                <text:span text:style-name="T8">1 Laden en lossen Reitdiephavenplein (Stadspartij 100% 9-5-2025)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74"/>
        Laden en lossen Reitdiephavenplein (Stadspartij 100% 9-5-2025)
        <text:bookmark-end text:name="146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9-5-2025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04-06-2025 10:38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Laden en lossen Reitdiephavenplein (Stadspartij 100% 9-5-2025)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108,85 KB</text:p>
          </table:table-cell>
          <table:table-cell table:style-name="Table5.A2" office:value-type="string">
            <text:p text:style-name="P33">
              <text:a xlink:type="simple" xlink:href="https://gemeenteraad.groningen.nl//Documenten/Laden-en-lossen-Reitdiephavenplein-Stadspartij-100-9-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Stadspartij 100% voor Groningen over laden en lossen Reitdiephavenplein
              <text:span text:style-name="T3"/>
            </text:p>
            <text:p text:style-name="P7"/>
          </table:table-cell>
          <table:table-cell table:style-name="Table5.A2" office:value-type="string">
            <text:p text:style-name="P8">04-06-2025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Stadspartij-100-voor-Groningen-over-laden-en-lossen-Reitdiephavenpl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3" meta:character-count="667" meta:non-whitespace-character-count="6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