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48" text:style-name="Internet_20_link" text:visited-style-name="Visited_20_Internet_20_Link">
              <text:span text:style-name="ListLabel_20_28">
                <text:span text:style-name="T8">1 Mogelijke sloop woningen Van Oldenbarneveltlaan en Borgwal (SP, PvhN, 28-4-2025)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48"/>
        Mogelijke sloop woningen Van Oldenbarneveltlaan en Borgwal (SP, PvhN, 28-4-2025)
        <text:bookmark-end text:name="146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28-4-2025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21-05-2025 10:40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Mogelijke sloop woningen Van Oldenbarneveltlaan en Borgwal (SP, PvhN, 28-4-2025)
              <text:span text:style-name="T3"/>
            </text:p>
            <text:p text:style-name="P7"/>
          </table:table-cell>
          <table:table-cell table:style-name="Table5.A2" office:value-type="string">
            <text:p text:style-name="P8">28-04-2025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71,71 KB</text:p>
          </table:table-cell>
          <table:table-cell table:style-name="Table5.A2" office:value-type="string">
            <text:p text:style-name="P33">
              <text:a xlink:type="simple" xlink:href="https://gemeenteraad.groningen.nl//Documenten/Mogelijke-sloop-woningen-Van-Oldenbarneveltlaan-en-Borgwal-SP-PvhN-28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SP en PvhN over mogelijke sloop woningen Van Oldenbarneveltlaan en Borgwal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P-en-PvhN-over-mogelijke-sloop-woningen-Van-Oldenbarneveltlaan-en-Borgw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5" meta:character-count="722" meta:non-whitespace-character-count="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