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6" w:history="1">
        <w:r>
          <w:rPr>
            <w:rFonts w:ascii="Arial" w:hAnsi="Arial" w:eastAsia="Arial" w:cs="Arial"/>
            <w:color w:val="155CAA"/>
            <w:u w:val="single"/>
          </w:rPr>
          <w:t xml:space="preserve">1 Nr. 15 CNV Overheid over goed werkgeverschap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6"/>
      <w:r w:rsidRPr="00A448AC">
        <w:rPr>
          <w:rFonts w:ascii="Arial" w:hAnsi="Arial" w:cs="Arial"/>
          <w:b/>
          <w:bCs/>
          <w:color w:val="303F4C"/>
          <w:lang w:val="en-US"/>
        </w:rPr>
        <w:t>Nr. 15 CNV Overheid over goed werkgeverschap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nr  15 CNV-Overheid 2018-0322 Punten overheid gemeenteraden DRUK.pdf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bij-nr-15-CNV-Overheid-2018-0322-Punten-overheid-gemeenteraden-DR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