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71" text:style-name="Internet_20_link" text:visited-style-name="Visited_20_Internet_20_Link">
              <text:span text:style-name="ListLabel_20_28">
                <text:span text:style-name="T8">1 Opkomstbevordering bij verkiezingen (D66, GL, CU, PvhN, S&amp;amp;S, PvdD, 19-3-2025)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71"/>
        Opkomstbevordering bij verkiezingen (D66, GL, CU, PvhN, S&amp;amp;S, PvdD, 19-3-2025)
        <text:bookmark-end text:name="145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GL, CU, PvhN, S&amp;S, PvdD, 19-3-2025)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9-4-25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09-04-2025 12:03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Opkomstbevordering bij verkiezingen (D66, GL, CU, PvhN, S&amp;amp;S, PvdD, 19-3-2025)
              <text:span text:style-name="T3"/>
            </text:p>
            <text:p text:style-name="P7"/>
          </table:table-cell>
          <table:table-cell table:style-name="Table5.A2" office:value-type="string">
            <text:p text:style-name="P8">19-03-2025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148,26 KB</text:p>
          </table:table-cell>
          <table:table-cell table:style-name="Table5.A2" office:value-type="string">
            <text:p text:style-name="P33">
              <text:a xlink:type="simple" xlink:href="https://gemeenteraad.groningen.nl//Documenten/Opkomstbevordering-bij-verkiezingen-D66-GL-CU-PvhN-S-S-PvdD-19-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D66, GL, CU, PvdD, Pvh en S&amp;amp;S over Opkomstbevordering gemeenteraadsverkiezingen 18 maart 2026
              <text:span text:style-name="T3"/>
            </text:p>
            <text:p text:style-name="P7"/>
          </table:table-cell>
          <table:table-cell table:style-name="Table5.A2" office:value-type="string">
            <text:p text:style-name="P8">09-04-2025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66-GL-CU-PvdD-Pvh-en-S-S-over-Opkomstbevordering-gemeenteraadsverkiezingen-18-maart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7" meta:character-count="749" meta:non-whitespace-character-count="6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