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63" text:style-name="Internet_20_link" text:visited-style-name="Visited_20_Internet_20_Link">
              <text:span text:style-name="ListLabel_20_28">
                <text:span text:style-name="T8">1 Overlast huisjesmelkers (Stadspartij 100%, 25-10-2022)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63"/>
        Overlast huisjesmelkers (Stadspartij 100%, 25-10-2022)
        <text:bookmark-end text:name="131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25-10-2022)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16-11-2022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16-11-2022 11:30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Overlast huisjesmelkers
              <text:span text:style-name="T3"/>
            </text:p>
            <text:p text:style-name="P7"/>
          </table:table-cell>
          <table:table-cell table:style-name="Table5.A2" office:value-type="string">
            <text:p text:style-name="P8">25-10-2022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verlast-huisjesmel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Stadspartij 100% ex art 36 RvO over handhaving overlast malafide huisjesmelkers
              <text:span text:style-name="T3"/>
            </text:p>
            <text:p text:style-name="P7"/>
          </table:table-cell>
          <table:table-cell table:style-name="Table5.A2" office:value-type="string">
            <text:p text:style-name="P8">16-11-2022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tadspartij-100-ex-art-36-RvO-over-handhaving-overlast-malafide-huisjesmelk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2" meta:character-count="622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