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09" text:style-name="Internet_20_link" text:visited-style-name="Visited_20_Internet_20_Link">
              <text:span text:style-name="ListLabel_20_28">
                <text:span text:style-name="T8">1 Parkeerkosten privéterrein woningbouwcorporaties (CDA, SP, 22-5-2023)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09"/>
        Parkeerkosten privéterrein woningbouwcorporaties (CDA, SP, 22-5-2023)
        <text:bookmark-end text:name="135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CDA, 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22-05-2023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13-6-23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13-06-2023 16:00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Parkeerkosten privéterrein woningbouwcorporaties (CDA, SP, 22-5-2023)
              <text:span text:style-name="T3"/>
            </text:p>
            <text:p text:style-name="P7"/>
          </table:table-cell>
          <table:table-cell table:style-name="Table5.A2" office:value-type="string">
            <text:p text:style-name="P8">22-05-2023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56,22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Parkeerkosten-priveterrein-woningbouwcorporaties-CDA-SP-22-5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CDA en SP over Parkeerkosten priveterrein woningbouwcorporaties
              <text:span text:style-name="T3"/>
            </text:p>
            <text:p text:style-name="P7"/>
          </table:table-cell>
          <table:table-cell table:style-name="Table5.A2" office:value-type="string">
            <text:p text:style-name="P8">13-06-2023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104,97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CDA-en-SP-over-Parkeerkosten-priveterrein-woningbouwcorpor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7" meta:character-count="671" meta:non-whitespace-character-count="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