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10" text:style-name="Internet_20_link" text:visited-style-name="Visited_20_Internet_20_Link">
              <text:span text:style-name="ListLabel_20_28">
                <text:span text:style-name="T8">1 Particuliere bomenkap (PvdD, 10-1-2024)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10"/>
        Particuliere bomenkap (PvdD, 10-1-2024)
        <text:bookmark-end text:name="139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10-1-2024)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07-02-2024 11:06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Particuliere bomenkap (PvdD, 10-1-2024)
              <text:span text:style-name="T3"/>
            </text:p>
            <text:p text:style-name="P7"/>
          </table:table-cell>
          <table:table-cell table:style-name="Table5.A2" office:value-type="string">
            <text:p text:style-name="P8">10-01-2024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127,83 KB</text:p>
          </table:table-cell>
          <table:table-cell table:style-name="Table5.A2" office:value-type="string">
            <text:p text:style-name="P33">
              <text:a xlink:type="simple" xlink:href="https://gemeenteraad.groningen.nl//Documenten/Particuliere-bomenkap-PvdD-10-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PvdD over Bomenkap in de achtertuin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dD-over-Bomenkap-in-de-achtertu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7" meta:character-count="540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