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67" w:history="1">
        <w:r>
          <w:rPr>
            <w:rFonts w:ascii="Arial" w:hAnsi="Arial" w:eastAsia="Arial" w:cs="Arial"/>
            <w:color w:val="155CAA"/>
            <w:u w:val="single"/>
          </w:rPr>
          <w:t xml:space="preserve">1 Roofvogelshows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67"/>
      <w:r w:rsidRPr="00A448AC">
        <w:rPr>
          <w:rFonts w:ascii="Arial" w:hAnsi="Arial" w:cs="Arial"/>
          <w:b/>
          <w:bCs/>
          <w:color w:val="303F4C"/>
          <w:lang w:val="en-US"/>
        </w:rPr>
        <w:t>Roofvogelshows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Roofvogelshows.pdf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over het houden van roofvogelshows.pdf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Roofvogelshows.pdf" TargetMode="External" /><Relationship Id="rId25" Type="http://schemas.openxmlformats.org/officeDocument/2006/relationships/hyperlink" Target="https://gemeenteraad.groningen.nl//Documenten/Document/Beantwoording-vragen-ex-art-38-RvO-PvdD-over-het-houden-van-roofvogelshow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