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55" text:style-name="Internet_20_link" text:visited-style-name="Visited_20_Internet_20_Link">
              <text:span text:style-name="ListLabel_20_28">
                <text:span text:style-name="T8">1 Schoolspullen voor kinderen (CDA, 14-10-2022)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55"/>
        Schoolspullen voor kinderen (CDA, 14-10-2022)
        <text:bookmark-end text:name="131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14-10-2022)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16-11-2022 11:32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Schoolspullen voor kinderen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22,46 KB</text:p>
          </table:table-cell>
          <table:table-cell table:style-name="Table5.A2" office:value-type="string">
            <text:p text:style-name="P33">
              <text:a xlink:type="simple" xlink:href="https://gemeenteraad.groningen.nl//Documenten/Document/Schoolspullen-voor-ki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art. 36 RvO over schoolspullen voor kinderen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schoolspullen-voor-ki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0" meta:character-count="56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