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01" text:style-name="Internet_20_link" text:visited-style-name="Visited_20_Internet_20_Link">
              <text:span text:style-name="ListLabel_20_28">
                <text:span text:style-name="T8">1 Staat en aanpak van het Sterrebos (CDA, S&amp;amp;S, 9-1-2024)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01"/>
        Staat en aanpak van het Sterrebos (CDA, S&amp;amp;S, 9-1-2024)
        <text:bookmark-end text:name="139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S&amp;S, 9-1-2024)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31-1-2024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31-01-2024 11:23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Staat en aanpak van het Sterrebos (CDA, S&amp;amp;S, 9-1-2024)
              <text:span text:style-name="T3"/>
            </text:p>
            <text:p text:style-name="P7"/>
          </table:table-cell>
          <table:table-cell table:style-name="Table5.A2" office:value-type="string">
            <text:p text:style-name="P8">09-01-2024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88,18 KB</text:p>
          </table:table-cell>
          <table:table-cell table:style-name="Table5.A2" office:value-type="string">
            <text:p text:style-name="P33">
              <text:a xlink:type="simple" xlink:href="https://gemeenteraad.groningen.nl//Documenten/Staat-en-aanpak-van-het-Sterrebos-CDA-S-S-9-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CDA en Student en Stad over de aanpak van het Sterrebos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31,13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DA-en-Student-en-Stad-over-de-aanpak-van-het-Sterrebo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8" meta:character-count="619" meta:non-whitespace-character-count="5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