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53" text:style-name="Internet_20_link" text:visited-style-name="Visited_20_Internet_20_Link">
              <text:span text:style-name="ListLabel_20_28">
                <text:span text:style-name="T8">1 Straatintimidatie en seksueel grensoverschrijdend gedrag (CDA, GL, D66, CU, Stadspartij 100%, PvhN, PVV, 24-7-2024)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53"/>
        Straatintimidatie en seksueel grensoverschrijdend gedrag (CDA, GL, D66, CU, Stadspartij 100%, PvhN, PVV, 24-7-2024)
        <text:bookmark-end text:name="14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GL, D66, CU, Stadspartij 100%, PvhN, PVV, 24-7-2024)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24-7-24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11-09-2024 15:49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Straatintimidatie en seksueel grensoverschrijdend gedrag (CDA, GL, D66, CU, Stadspartij 100%, PvhN, PVV, 24-7-2024)
              <text:span text:style-name="T3"/>
            </text:p>
            <text:p text:style-name="P7"/>
          </table:table-cell>
          <table:table-cell table:style-name="Table5.A2" office:value-type="string">
            <text:p text:style-name="P8">24-07-2024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145,59 KB</text:p>
          </table:table-cell>
          <table:table-cell table:style-name="Table5.A2" office:value-type="string">
            <text:p text:style-name="P33">
              <text:a xlink:type="simple" xlink:href="https://gemeenteraad.groningen.nl//Documenten/Straatintimidatie-en-seksueel-grensoverschrijdend-gedrag-CDA-GL-D66-CU-Stadspartij-100-PvhN-PVV-24-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CDA, GL, D66, CU, Stadspartij 100%, PvhN en PVV over straatintimidatie en seksueel grensoverschrijdend 
              <text:soft-page-break/>
              gedrag
              <text:span text:style-name="T3"/>
            </text:p>
            <text:p text:style-name="P7"/>
          </table:table-cell>
          <table:table-cell table:style-name="Table5.A2" office:value-type="string">
            <text:p text:style-name="P8">11-09-2024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CDA-GL-D66-CU-Stadspartij-100-PvhN-en-PVV-over-straatintimidatie-en-seksueel-grensoverschrijdend-gedr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27" meta:character-count="907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