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92" text:style-name="Internet_20_link" text:visited-style-name="Visited_20_Internet_20_Link">
              <text:span text:style-name="ListLabel_20_28">
                <text:span text:style-name="T8">1 Studieschuld met korting aflossen bij gemeente Groningen (S&amp;amp;S, SP GL, 17-1-2025)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92"/>
        Studieschuld met korting aflossen bij gemeente Groningen (S&amp;amp;S, SP GL, 17-1-2025)
        <text:bookmark-end text:name="144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(S&amp;S, SP,GL, 17-1-2025)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12-2-25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12-02-2025 15:38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Studieschuld met korting aflossen bij gemeente Groningen (S&amp;amp;S, SP, GL, 16-1-25)
              <text:span text:style-name="T3"/>
            </text:p>
            <text:p text:style-name="P7"/>
          </table:table-cell>
          <table:table-cell table:style-name="Table5.A2" office:value-type="string">
            <text:p text:style-name="P8">17-01-2025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170,60 KB</text:p>
          </table:table-cell>
          <table:table-cell table:style-name="Table5.A2" office:value-type="string">
            <text:p text:style-name="P33">
              <text:a xlink:type="simple" xlink:href="https://gemeenteraad.groningen.nl//Documenten/Studieschuld-met-korting-aflossen-bij-gemeente-Groningen-S-S-SP-GL-16-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S&amp;amp;S, SP en GL over studieschuld met korting aflossen bij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-S-SP-en-GL-over-studieschuld-met-korting-aflossen-bij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5" meta:character-count="722" meta:non-whitespace-character-count="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