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76" text:style-name="Internet_20_link" text:visited-style-name="Visited_20_Internet_20_Link">
              <text:span text:style-name="ListLabel_20_28">
                <text:span text:style-name="T8">1 Systeem van loting bij het voortgezet onderwijs (CDA, D66, VVD, Stadspartij 100% , PvhN, PVV en PvdA, 3-5-2023)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76"/>
        Systeem van loting bij het voortgezet onderwijs (CDA, D66, VVD, Stadspartij 100% , PvhN, PVV en PvdA, 3-5-2023)
        <text:bookmark-end text:name="134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D66, VVD, Stadspartij 100% , PvhN, PVV en PvdA, 3-5-2023)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31-05-2023 13:27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Systeem van loting bij het voortgezet onderwijs
              <text:span text:style-name="T3"/>
            </text:p>
            <text:p text:style-name="P7"/>
          </table:table-cell>
          <table:table-cell table:style-name="Table5.A2" office:value-type="string">
            <text:p text:style-name="P8">03-05-2023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133,21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Systeem-van-loting-bij-het-voortgezet-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schiftelijke vragen CDA D66 VVD Stadspartij PvhN PVV en de PvdA over loting scholen in Groningen br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schiftelijke-vragen-CDA-D66-VVD-Stadspartij-PvhN-PVV-en-de-PvdA-over-loting-scholen-in-Groningen-b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120" meta:character-count="756" meta:non-whitespace-character-count="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