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09:08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188" text:style-name="Internet_20_link" text:visited-style-name="Visited_20_Internet_20_Link">
              <text:span text:style-name="ListLabel_20_28">
                <text:span text:style-name="T8">1 Tekort aan binnensportaccommodaties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188"/>
        Tekort aan binnensportaccommodaties
        <text:bookmark-end text:name="1118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Tekort aan binnensportaccomodaties .pdf
              <text:span text:style-name="T3"/>
            </text:p>
            <text:p text:style-name="P7"/>
          </table:table-cell>
          <table:table-cell table:style-name="Table4.A2" office:value-type="string">
            <text:p text:style-name="P8">23-07-2019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130,33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Schriftelijke-vragen-Tekort-aan-binnensportaccomodatie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CDA, 100%Groningen, VVD, PvdD, Stadspartij ex art 38 RvO over tekort aan binnensportaccommodaties.pdf
              <text:span text:style-name="T3"/>
            </text:p>
            <text:p text:style-name="P7"/>
          </table:table-cell>
          <table:table-cell table:style-name="Table4.A2" office:value-type="string">
            <text:p text:style-name="P8">23-07-2019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151,70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antwoording-vragen-CDA-100-Groningen-VVD-PvdD-Stadspartij-ex-art-38-RvO-over-tekort-aan-binnensportaccommodatie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2" meta:character-count="531" meta:non-whitespace-character-count="4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408875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408875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