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87" text:style-name="Internet_20_link" text:visited-style-name="Visited_20_Internet_20_Link">
              <text:span text:style-name="ListLabel_20_28">
                <text:span text:style-name="T8">
                  1 Toegang tot bijstand en problemen kostendelersnorm 
                  <text:s/>
                  (CU, GL, 18-6-2021)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87"/>
        Toegang tot bijstand en problemen kostendelersnorm 
        <text:s/>
        (CU, GL, 18-6-2021)
        <text:bookmark-end text:name="124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18-6-2021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8-9-2021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08-09-2021 09:50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Toegang tot bijstand en problemen kostendelersnorm (CU, GL, 18-6-2021)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Toegang-tot-bijstand-en-problemen-kostendelersnorm-CU-GL-18-6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GL en CU over toegang bijstand en problemen kostendelersnorm
              <text:span text:style-name="T3"/>
            </text:p>
            <text:p text:style-name="P7"/>
          </table:table-cell>
          <table:table-cell table:style-name="Table5.A2" office:value-type="string">
            <text:p text:style-name="P8">08-09-2021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GL-en-CU-over-toegang-bijstand-en-problemen-kostendelersnor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8" meta:character-count="672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