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68" text:style-name="Internet_20_link" text:visited-style-name="Visited_20_Internet_20_Link">
              <text:span text:style-name="ListLabel_20_28">
                <text:span text:style-name="T8">1 Toekomst voor Groningens Ontzet (CDA, D66, VVD, Stadspartij, S&amp;amp;S, PvhN, PVV 30-8-2023)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68"/>
        Toekomst voor Groningens Ontzet (CDA, D66, VVD, Stadspartij, S&amp;amp;S, PvhN, PVV 30-8-2023)
        <text:bookmark-end text:name="136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D66, VVD, Stadspartij, S&amp;S, PvhN, 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30-08-2023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20-09-2023 12:19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Toekomst voor Groningens Ontzet (CDA, D66, VVD, Stadspartij, S&amp;amp;S, PvhN, PVV 30-8-2023)
              <text:span text:style-name="T3"/>
            </text:p>
            <text:p text:style-name="P7"/>
          </table:table-cell>
          <table:table-cell table:style-name="Table5.A2" office:value-type="string">
            <text:p text:style-name="P8">30-08-2023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Toekomst-voor-Groningens-Ontzet-CDA-D66-VVD-Stadspartij-S-S-PvhN-PVV-30-8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CDA, D66, VVD, Stadspartij 100%, S&amp;amp;S, PvhN, PVV over de toekomst voor Groningens Ontzet
              <text:span text:style-name="T3"/>
            </text:p>
            <text:p text:style-name="P7"/>
          </table:table-cell>
          <table:table-cell table:style-name="Table5.A2" office:value-type="string">
            <text:p text:style-name="P8">20-09-2023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D66-VVD-Stadspartij-100-S-S-PvhN-PVV-over-de-toekomst-voor-Groningens-Ontz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7" meta:character-count="798" meta:non-whitespace-character-count="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