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69" text:style-name="Internet_20_link" text:visited-style-name="Visited_20_Internet_20_Link">
              <text:span text:style-name="ListLabel_20_28">
                <text:span text:style-name="T8">1 Twee concrete voorvallen i.h.k.v. de openbare orde en veiligheid (Stadspartij 100%, 15-2-2024)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69"/>
        Twee concrete voorvallen i.h.k.v. de openbare orde en veiligheid (Stadspartij 100%, 15-2-2024)
        <text:bookmark-end text:name="139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15-2-2024)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13-3-24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13-03-2024 11:26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Twee concrete voorvallen i.h.k.v. de openbare orde en veiligheid (Stadspartij 100%, 15-2-2024)
              <text:span text:style-name="T3"/>
            </text:p>
            <text:p text:style-name="P7"/>
          </table:table-cell>
          <table:table-cell table:style-name="Table5.A2" office:value-type="string">
            <text:p text:style-name="P8">15-02-2024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68,68 KB</text:p>
          </table:table-cell>
          <table:table-cell table:style-name="Table5.A2" office:value-type="string">
            <text:p text:style-name="P33">
              <text:a xlink:type="simple" xlink:href="https://gemeenteraad.groningen.nl//Documenten/Twee-concrete-voorvallen-i-h-k-v-de-openbare-orde-en-veiligheid-Stadspartij-100-15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Stadspartij 100% over twee concrete voorvallen met betrekking tot Veiligheid en Openbare Orde
              <text:span text:style-name="T3"/>
            </text:p>
            <text:p text:style-name="P7"/>
          </table:table-cell>
          <table:table-cell table:style-name="Table5.A2" office:value-type="string">
            <text:p text:style-name="P8">13-03-2024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tadspartij-100-over-twee-concrete-voorvallen-met-betrekking-tot-Veiligheid-en-Openbare-Or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9" meta:character-count="771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