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969" w:history="1">
        <w:r>
          <w:rPr>
            <w:rFonts w:ascii="Arial" w:hAnsi="Arial" w:eastAsia="Arial" w:cs="Arial"/>
            <w:color w:val="155CAA"/>
            <w:u w:val="single"/>
          </w:rPr>
          <w:t xml:space="preserve">1 Twee concrete voorvallen i.h.k.v. de openbare orde en veiligheid (Stadspartij 100%, 15-2-2024)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969"/>
      <w:r w:rsidRPr="00A448AC">
        <w:rPr>
          <w:rFonts w:ascii="Arial" w:hAnsi="Arial" w:cs="Arial"/>
          <w:b/>
          <w:bCs/>
          <w:color w:val="303F4C"/>
          <w:lang w:val="en-US"/>
        </w:rPr>
        <w:t>Twee concrete voorvallen i.h.k.v. de openbare orde en veiligheid (Stadspartij 100%, 15-2-2024)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(Stadspartij 100%, 15-2-2024)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13-3-24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 11:26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 concrete voorvallen i.h.k.v. de openbare orde en veiligheid (Stadspartij 100%, 15-2-2024)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Stadspartij 100% over twee concrete voorvallen met betrekking tot Veiligheid en Openbare Orde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Twee-concrete-voorvallen-i-h-k-v-de-openbare-orde-en-veiligheid-Stadspartij-100-15-2-2024.pdf" TargetMode="External" /><Relationship Id="rId25" Type="http://schemas.openxmlformats.org/officeDocument/2006/relationships/hyperlink" Target="https://gemeenteraad.groningen.nl//Documenten/Beantwoording-vragen-ex-art-36-RvO-Stadspartij-100-over-twee-concrete-voorvallen-met-betrekking-tot-Veiligheid-en-Openbare-Ord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