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56" text:style-name="Internet_20_link" text:visited-style-name="Visited_20_Internet_20_Link">
              <text:span text:style-name="ListLabel_20_28">
                <text:span text:style-name="T8">1 Uitgestelde aanscherping van de MPG-norm (GL, PvdA, D66, PvdD, 23-10-2024)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56"/>
        Uitgestelde aanscherping van de MPG-norm (GL, PvdA, D66, PvdD, 23-10-2024)
        <text:bookmark-end text:name="143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(GL, PvdA, D66, PvdD, 23-10-2024)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20-11-2024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20-11-2024 11:04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Uitgestelde aanscherping van de MPG-norm (GL, PvdA, D66, PvdD, 23-10-2024)
              <text:span text:style-name="T3"/>
            </text:p>
            <text:p text:style-name="P7"/>
          </table:table-cell>
          <table:table-cell table:style-name="Table5.A2" office:value-type="string">
            <text:p text:style-name="P8">23-10-2024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116,50 KB</text:p>
          </table:table-cell>
          <table:table-cell table:style-name="Table5.A2" office:value-type="string">
            <text:p text:style-name="P33">
              <text:a xlink:type="simple" xlink:href="https://gemeenteraad.groningen.nl//Documenten/Uitgestelde-aanscherping-van-de-MPG-norm-GL-PvdA-D66-PvdD-23-10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GL, PvdD, D66, PvdA over de uitgestelde aanscherping van de MPG-norm
              <text:span text:style-name="T3"/>
            </text:p>
            <text:p text:style-name="P7"/>
          </table:table-cell>
          <table:table-cell table:style-name="Table5.A2" office:value-type="string">
            <text:p text:style-name="P8">20-11-2024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GL-PvdD-D66-PvdA-over-de-uitgestelde-aanscherping-van-de-MPG-nor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3" meta:character-count="696" meta:non-whitespace-character-count="6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