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16:09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76" text:style-name="Internet_20_link" text:visited-style-name="Visited_20_Internet_20_Link">
              <text:span text:style-name="ListLabel_20_28">
                <text:span text:style-name="T8">1 VRAGEN van het CDA van de heer J. Seton en mevrouw A.K. Kuik betreffende bevoegdheden raad met betrekking tot het openbaar onderwijs (O2G2).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76"/>
        VRAGEN van het CDA van de heer J. Seton en mevrouw A.K. Kuik betreffende bevoegdheden raad met betrekking tot het openbaar onderwijs (O2G2).
        <text:bookmark-end text:name="91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de heer J. Seton en mevrouw A.K. Kuik betreffende bevoegdheden raad met betrekking tot het openbaar onderwijs (O2G2)..pdf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de-heer-J-Seton-en-mevrouw-A-K-Kuik-betreffende-bevoegdheden-raad-met-betrekking-tot-het-openbaar-onderwijs-O2G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8" meta:character-count="670" meta:non-whitespace-character-count="5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