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10:00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869" text:style-name="Internet_20_link" text:visited-style-name="Visited_20_Internet_20_Link">
              <text:span text:style-name="ListLabel_20_28">
                <text:span text:style-name="T8">
                  1 Vaste standplaatsen voor vis- en bloemenkramen (CDA, D66, VVD, Stadspartij 100%, S&amp;amp;S, PvhN, 
                  <text:s/>
                  PVV, 13-2-2023)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869"/>
        Vaste standplaatsen voor vis- en bloemenkramen (CDA, D66, VVD, Stadspartij 100%, S&amp;amp;S, PvhN, 
        <text:s/>
        PVV, 13-2-2023)
        <text:bookmark-end text:name="1386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
              (CDA, D66, VVD, Stadspartij 100%, S&amp;S, PvhN, 
              <text:s/>
              PVV, 13-2-2023)
            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24-1-24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24-01-2024 15:26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Vaste standplaatsen van vis- en bloemenkramen
              <text:span text:style-name="T3"/>
            </text:p>
            <text:p text:style-name="P7"/>
          </table:table-cell>
          <table:table-cell table:style-name="Table5.A2" office:value-type="string">
            <text:p text:style-name="P8">13-12-2023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122,25 KB</text:p>
          </table:table-cell>
          <table:table-cell table:style-name="Table5.A2" office:value-type="string">
            <text:p text:style-name="P33">
              <text:a xlink:type="simple" xlink:href="https://gemeenteraad.groningen.nl//Documenten/Vaste-standplaatsen-van-vis-en-bloemenkra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CDA, D66, VVD, Stadspartij 100%, PvhN, PVV en S&amp;amp;S over vaste standplaatsen vis- en bloemenkramen
              <text:span text:style-name="T3"/>
            </text:p>
            <text:p text:style-name="P7"/>
          </table:table-cell>
          <table:table-cell table:style-name="Table5.A2" office:value-type="string">
            <text:p text:style-name="P8">24-01-2024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151,49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CDA-D66-VVD-Stadspartij-100-PvhN-PVV-en-S-S-over-vaste-standplaatsen-vis-en-bloemenkra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117" meta:character-count="799" meta:non-whitespace-character-count="7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935110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935110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