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94" text:style-name="Internet_20_link" text:visited-style-name="Visited_20_Internet_20_Link">
              <text:span text:style-name="ListLabel_20_28">
                <text:span text:style-name="T8">1 Vervanging van het luchtalarmeringssysteem (Stadspartij 100%, 5-3-2024)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94"/>
        Vervanging van het luchtalarmeringssysteem (Stadspartij 100%, 5-3-2024)
        <text:bookmark-end text:name="13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5-3-2024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03-04-2024 11:52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Vervanging van het luchtalarmeringssysteem (Stadspartij 100%, 5-3-2024)
              <text:span text:style-name="T3"/>
            </text:p>
            <text:p text:style-name="P7"/>
          </table:table-cell>
          <table:table-cell table:style-name="Table5.A2" office:value-type="string">
            <text:p text:style-name="P8">05-03-2024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116,20 KB</text:p>
          </table:table-cell>
          <table:table-cell table:style-name="Table5.A2" office:value-type="string">
            <text:p text:style-name="P33">
              <text:a xlink:type="simple" xlink:href="https://gemeenteraad.groningen.nl//Documenten/Vervanging-van-het-luchtalarmeringssysteem-Stadspartij-100-5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Stadspartij 100% over vervanging luchtalarmeringssysteem
              <text:span text:style-name="T3"/>
            </text:p>
            <text:p text:style-name="P7"/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adspartij-100-over-vervanging-luchtalarmerings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678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