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17:28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734" text:style-name="Internet_20_link" text:visited-style-name="Visited_20_Internet_20_Link">
              <text:span text:style-name="ListLabel_20_28">
                <text:span text:style-name="T8">1 Voorrang cruciale beroepen op woningmarkt (D66, 6-12-2021)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734"/>
        Voorrang cruciale beroepen op woningmarkt (D66, 6-12-2021)
        <text:bookmark-end text:name="1273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D66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6-12-2021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12-1-2022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12-01-2022 10:56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Voorrang cruciale beroepen op woningmarkt (D66, 6-12-2021)
              <text:span text:style-name="T3"/>
            </text:p>
            <text:p text:style-name="P7"/>
          </table:table-cell>
          <table:table-cell table:style-name="Table5.A2" office:value-type="string">
            <text:p text:style-name="P8">06-12-2021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74,19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Voorrang-cruciale-beroepen-op-woningmarkt-D66-6-12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38 RvO D66 over voorrang cruciale beroepen op woningmarkt
              <text:span text:style-name="T3"/>
            </text:p>
            <text:p text:style-name="P7"/>
          </table:table-cell>
          <table:table-cell table:style-name="Table5.A2" office:value-type="string">
            <text:p text:style-name="P8">12-01-2022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95,09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8-RvO-D66-over-voorrang-cruciale-beroepen-op-woningmark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89" meta:character-count="620" meta:non-whitespace-character-count="5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284364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284364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