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35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onduidelijkheid parkeerontheffingen evenementen Waagplein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35"/>
      <w:r w:rsidRPr="00A448AC">
        <w:rPr>
          <w:rFonts w:ascii="Arial" w:hAnsi="Arial" w:cs="Arial"/>
          <w:b/>
          <w:bCs/>
          <w:color w:val="303F4C"/>
          <w:lang w:val="en-US"/>
        </w:rPr>
        <w:t>Vragen CDA over onduidelijkheid parkeerontheffingen evenementen Waagplein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onduidelijkheid parkeerontheffingen evenementen Waagplein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over-onduidelijkheid-parkeerontheffingen-evenementen-Waagplei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