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62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holebi-vriendelijkheid Groningse scholen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62"/>
      <w:r w:rsidRPr="00A448AC">
        <w:rPr>
          <w:rFonts w:ascii="Arial" w:hAnsi="Arial" w:cs="Arial"/>
          <w:b/>
          <w:bCs/>
          <w:color w:val="303F4C"/>
          <w:lang w:val="en-US"/>
        </w:rPr>
        <w:t>Vragen D66 over holebi-vriendelijkheid Groningse scholen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holebi-vriendelijkheid Groningse scholen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over-holebi-vriendelijkheid-Groningse-schol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