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12" text:style-name="Internet_20_link" text:visited-style-name="Visited_20_Internet_20_Link">
              <text:span text:style-name="ListLabel_20_28">
                <text:span text:style-name="T8">1 Vragen inzake het Atelierbeleid in de binnenstad (PvdD, GL, PvdA, 20-9-2022)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12"/>
        Vragen inzake het Atelierbeleid in de binnenstad (PvdD, GL, PvdA, 20-9-2022)
        <text:bookmark-end text:name="13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GL,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12-10-2022 11:19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Vragen inzake het Atelierbeleid in de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20-09-2022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ragen-inzake-het-Atelierbeleid-in-de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PvdD, GL, PvdA ex art 36 RvO over atelierbeleid in de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12-10-2022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GL-PvdA-ex-art-36-RvO-over-atelierbeleid-in-de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659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