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6" w:history="1">
        <w:r>
          <w:rPr>
            <w:rFonts w:ascii="Arial" w:hAnsi="Arial" w:eastAsia="Arial" w:cs="Arial"/>
            <w:color w:val="155CAA"/>
            <w:u w:val="single"/>
          </w:rPr>
          <w:t xml:space="preserve">1 Vragen (nr. 44) van GroenLinks, van de heer W.B. Leemhuis en mevrouw L.T. van der Vegt betreffende vergunningvrije bouwwerken onder  de Wabo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6"/>
      <w:r w:rsidRPr="00A448AC">
        <w:rPr>
          <w:rFonts w:ascii="Arial" w:hAnsi="Arial" w:cs="Arial"/>
          <w:b/>
          <w:bCs/>
          <w:color w:val="303F4C"/>
          <w:lang w:val="en-US"/>
        </w:rPr>
        <w:t>Vragen (nr. 44) van GroenLinks, van de heer W.B. Leemhuis en mevrouw L.T. van der Vegt betreffende vergunningvrije bouwwerken onder  de Wabo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(nr. 44) van GroenLinks, van de heer W.B. Leemhuis en mevrouw L.T. van der Vegt betreffende vergunningvrije bouwwerken onder  de Wabo.pdf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nr-44-van-GroenLinks-van-de-heer-W-B-Leemhuis-en-mevrouw-L-T-van-der-Vegt-betreffende-vergunningvrije-bouwwerken-onder-de-Wab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