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95" w:history="1">
        <w:r>
          <w:rPr>
            <w:rFonts w:ascii="Arial" w:hAnsi="Arial" w:eastAsia="Arial" w:cs="Arial"/>
            <w:color w:val="155CAA"/>
            <w:u w:val="single"/>
          </w:rPr>
          <w:t xml:space="preserve">1 Vragen van CDA, VVD en de PvdA betreffende verschil in groei tussen regionale en landelijke cijfers aangaande het aantal geweldsmisdrijven.(met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95"/>
      <w:r w:rsidRPr="00A448AC">
        <w:rPr>
          <w:rFonts w:ascii="Arial" w:hAnsi="Arial" w:cs="Arial"/>
          <w:b/>
          <w:bCs/>
          <w:color w:val="303F4C"/>
          <w:lang w:val="en-US"/>
        </w:rPr>
        <w:t>Vragen van CDA, VVD en de PvdA betreffende verschil in groei tussen regionale en landelijke cijfers aangaande het aantal geweldsmisdrijven.(met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CDA, VVD en de PvdA betreffende verschil in groei tussen regionale en landelijke cijfers aangaande het aantal geweldsmisdrijven.(met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CDA-VVD-en-de-PvdA-betreffende-verschil-in-groei-tussen-regionale-en-landelijke-cijfers-aangaande-het-aantal-geweldsmisdrijv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