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05" w:history="1">
        <w:r>
          <w:rPr>
            <w:rFonts w:ascii="Arial" w:hAnsi="Arial" w:eastAsia="Arial" w:cs="Arial"/>
            <w:color w:val="155CAA"/>
            <w:u w:val="single"/>
          </w:rPr>
          <w:t xml:space="preserve">1 Vragen van GroenLinks betreffende uitbetaling van bijstand aan ouderen met een onvolledige AOW. 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05"/>
      <w:r w:rsidRPr="00A448AC">
        <w:rPr>
          <w:rFonts w:ascii="Arial" w:hAnsi="Arial" w:cs="Arial"/>
          <w:b/>
          <w:bCs/>
          <w:color w:val="303F4C"/>
          <w:lang w:val="en-US"/>
        </w:rPr>
        <w:t>Vragen van GroenLinks betreffende uitbetaling van bijstand aan ouderen met een onvolledige AOW. 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betreffende uitbetaling van bijstand aan ouderen met een onvolledige AOW. 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GroenLinks-betreffende-uitbetaling-van-bijstand-aan-ouderen-met-een-onvolledige-AOW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