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16" w:history="1">
        <w:r>
          <w:rPr>
            <w:rFonts w:ascii="Arial" w:hAnsi="Arial" w:eastAsia="Arial" w:cs="Arial"/>
            <w:color w:val="155CAA"/>
            <w:u w:val="single"/>
          </w:rPr>
          <w:t xml:space="preserve">1 Warmte winnen uit kunstgras (CDA, 15-11-2022)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16"/>
      <w:r w:rsidRPr="00A448AC">
        <w:rPr>
          <w:rFonts w:ascii="Arial" w:hAnsi="Arial" w:cs="Arial"/>
          <w:b/>
          <w:bCs/>
          <w:color w:val="303F4C"/>
          <w:lang w:val="en-US"/>
        </w:rPr>
        <w:t>Warmte winnen uit kunstgras (CDA, 15-11-2022)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15-11-2022)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 winnen uit kunstgras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warmte winnen uit kunstgras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Artikel Algemeen Dagblad 3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Warmte-winnen-uit-kunstgras.pdf" TargetMode="External" /><Relationship Id="rId25" Type="http://schemas.openxmlformats.org/officeDocument/2006/relationships/hyperlink" Target="https://gemeenteraad.groningen.nl//Documenten/Collegebrief/Beantwoording-vragen-ex-art-36-RvO-CDA-over-warmte-winnen-uit-kunstgras.pdf" TargetMode="External" /><Relationship Id="rId26" Type="http://schemas.openxmlformats.org/officeDocument/2006/relationships/hyperlink" Target="https://gemeenteraad.groningen.nl//Documenten/Bijlage/Bijlage-Artikel-Algemeen-Dagblad-3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