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0" text:style-name="Internet_20_link" text:visited-style-name="Visited_20_Internet_20_Link">
              <text:span text:style-name="ListLabel_20_28">
                <text:span text:style-name="T8">1 asbestverwijdering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0"/>
        asbestverwijdering
        <text:bookmark-end text:name="2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Asbestverwijdering.pdf
              <text:span text:style-name="T3"/>
            </text:p>
            <text:p text:style-name="P7"/>
          </table:table-cell>
          <table:table-cell table:style-name="Table4.A2" office:value-type="string">
            <text:p text:style-name="P8">19-04-2017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111,28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sbestverwij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artikel 41 RvO van 100% Groningen betreffende de verwijdering van asbestdaken.pdf
              <text:span text:style-name="T3"/>
            </text:p>
            <text:p text:style-name="P7"/>
          </table:table-cell>
          <table:table-cell table:style-name="Table4.A2" office:value-type="string">
            <text:p text:style-name="P8">19-04-2017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ikel-41-RvO-van-100-Groningen-betreffende-de-verwijdering-van-asbestd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40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