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11" text:style-name="Internet_20_link" text:visited-style-name="Visited_20_Internet_20_Link">
              <text:span text:style-name="ListLabel_20_28">
                <text:span text:style-name="T8">1 de invoering van de reclamebelasting (CDA, D66, PvhN, PVV, Stadspartij 100% v Gr., S&amp;amp;S en VVD, 7-10-2024)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11"/>
        de invoering van de reclamebelasting (CDA, D66, PvhN, PVV, Stadspartij 100% v Gr., S&amp;amp;S en VVD, 7-10-2024)
        <text:bookmark-end text:name="14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CDA, D66, PvhN, PVV, Stadspartij 100% v Gr., S&amp;S, VVD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7-10-2024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06-11-2024 10:14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aangaande de invoering van de reclamebelasting (CDA, D66, PvhN, PVV, Stadspartij 100% v Gr., S&amp;amp;S, VVD - 7-10-2024)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gen-aangaande-de-invoering-van-de-reclamebelasting-CDA-D66-PvhN-PVV-Stadspartij-100-v-Gr-S-S-VVD-7-10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van CDA, D66, PvhN, PVV, Stadspartij 100%, S&amp;amp;S en VVD over de invoering van de reclamebelasting
              <text:span text:style-name="T3"/>
            </text:p>
            <text:p text:style-name="P7"/>
          </table:table-cell>
          <table:table-cell table:style-name="Table5.A2" office:value-type="string">
            <text:p text:style-name="P8">06-11-2024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113,58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CDA-D66-PvhN-PVV-Stadspartij-100-S-S-en-VVD-over-de-invoering-van-de-reclamebelas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37" meta:character-count="880" meta:non-whitespace-character-count="7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