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08" w:history="1">
        <w:r>
          <w:rPr>
            <w:rFonts w:ascii="Arial" w:hAnsi="Arial" w:eastAsia="Arial" w:cs="Arial"/>
            <w:color w:val="155CAA"/>
            <w:u w:val="single"/>
          </w:rPr>
          <w:t xml:space="preserve">1 herinnering wegvoeren joodse Groningers hoofdstation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08"/>
      <w:r w:rsidRPr="00A448AC">
        <w:rPr>
          <w:rFonts w:ascii="Arial" w:hAnsi="Arial" w:cs="Arial"/>
          <w:b/>
          <w:bCs/>
          <w:color w:val="303F4C"/>
          <w:lang w:val="en-US"/>
        </w:rPr>
        <w:t>herinnering wegvoeren joodse Groningers hoofdstation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Herinnering wegvoeren joodse groningers hoofdstation.pdf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38 RvO m.b.t. herinnering aan weggevoerde Joden bij het hoofdstation en spoorlijn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erinnering-wegvoeren-joodse-groningers-hoofdstation.pdf" TargetMode="External" /><Relationship Id="rId25" Type="http://schemas.openxmlformats.org/officeDocument/2006/relationships/hyperlink" Target="https://gemeenteraad.groningen.nl//Documenten/Link/Beantwoording-vragen-GroenLinks-ex-art-38-RvO-m-b-t-herinnering-aan-weggevoerde-Joden-bij-het-hoofdstation-en-spoorlijn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