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6" text:style-name="Internet_20_link" text:visited-style-name="Visited_20_Internet_20_Link">
              <text:span text:style-name="ListLabel_20_28">
                <text:span text:style-name="T8">1 hondenbelasting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6"/>
        hondenbelasting
        <text:bookmark-end text:name="1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Hondenbelasting.pdf
              <text:span text:style-name="T3"/>
            </text:p>
            <text:p text:style-name="P7"/>
          </table:table-cell>
          <table:table-cell table:style-name="Table4.A2" office:value-type="string">
            <text:p text:style-name="P8">13-04-2017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ondenbelas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
              <text:s/>
              41 RvO 100% Groningen over hondenbelasting .pdf
              <text:span text:style-name="T3"/>
            </text:p>
            <text:p text:style-name="P7"/>
          </table:table-cell>
          <table:table-cell table:style-name="Table4.A2" office:value-type="string">
            <text:p text:style-name="P8">13-04-2017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100-Groningen-over-hondenbelastin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01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