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84" text:style-name="Internet_20_link" text:visited-style-name="Visited_20_Internet_20_Link">
              <text:span text:style-name="ListLabel_20_28">
                <text:span text:style-name="T8">1 professionele bedelaars (7-11-23, Stadspartij 100%, PVV, PvhN, CU)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84"/>
        professionele bedelaars (7-11-23, Stadspartij 100%, PVV, PvhN, CU)
        <text:bookmark-end text:name="137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100%, PVV, PvhN,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7-11-23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29-11-2023 12:49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professionele bedelaars (7-11-23, Stadspartij 100%, PVV, PvhN, CU)
              <text:span text:style-name="T3"/>
            </text:p>
            <text:p text:style-name="P7"/>
          </table:table-cell>
          <table:table-cell table:style-name="Table5.A2" office:value-type="string">
            <text:p text:style-name="P8">07-11-2023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67,09 KB</text:p>
          </table:table-cell>
          <table:table-cell table:style-name="Table5.A2" office:value-type="string">
            <text:p text:style-name="P33">
              <text:a xlink:type="simple" xlink:href="https://gemeenteraad.groningen.nl//Documenten/professionele-bedelaars-7-11-23-Stadspartij-100-PVV-PvhN-C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Stadspartij 100%, PVV, PvhN en CU inzake toename van professionele bedelaars in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adspartij-100-PVV-PvhN-en-CU-inzake-toename-van-professionele-bedelaars-i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726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